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7C4" w:rsidRPr="003817C4" w:rsidRDefault="003817C4" w:rsidP="003817C4">
      <w:pPr>
        <w:spacing w:after="0" w:line="240" w:lineRule="auto"/>
        <w:rPr>
          <w:rFonts w:ascii="Arial" w:eastAsia="Times New Roman" w:hAnsi="Arial" w:cs="Arial"/>
          <w:b/>
          <w:sz w:val="20"/>
          <w:szCs w:val="20"/>
        </w:rPr>
      </w:pPr>
      <w:r w:rsidRPr="003817C4">
        <w:rPr>
          <w:rFonts w:ascii="Arial" w:eastAsia="Times New Roman" w:hAnsi="Arial" w:cs="Arial"/>
          <w:b/>
          <w:sz w:val="20"/>
          <w:szCs w:val="20"/>
        </w:rPr>
        <w:t>Excellence in Innovation - Student Engagement</w:t>
      </w:r>
    </w:p>
    <w:p w:rsidR="003817C4" w:rsidRPr="003817C4" w:rsidRDefault="003817C4" w:rsidP="003817C4">
      <w:pPr>
        <w:spacing w:after="0" w:line="240" w:lineRule="auto"/>
        <w:rPr>
          <w:rFonts w:ascii="Arial" w:eastAsia="Times New Roman" w:hAnsi="Arial" w:cs="Arial"/>
          <w:b/>
          <w:sz w:val="20"/>
          <w:szCs w:val="20"/>
        </w:rPr>
      </w:pPr>
    </w:p>
    <w:p w:rsidR="003817C4" w:rsidRPr="003817C4" w:rsidRDefault="003817C4" w:rsidP="003817C4">
      <w:pPr>
        <w:spacing w:after="0" w:line="240" w:lineRule="auto"/>
        <w:rPr>
          <w:rFonts w:ascii="Arial" w:eastAsia="Times New Roman" w:hAnsi="Arial" w:cs="Arial"/>
          <w:b/>
          <w:sz w:val="20"/>
          <w:szCs w:val="20"/>
        </w:rPr>
      </w:pPr>
      <w:proofErr w:type="spellStart"/>
      <w:r w:rsidRPr="003817C4">
        <w:rPr>
          <w:rFonts w:ascii="Arial" w:eastAsia="Times New Roman" w:hAnsi="Arial" w:cs="Arial"/>
          <w:b/>
          <w:sz w:val="20"/>
          <w:szCs w:val="20"/>
        </w:rPr>
        <w:t>UVic</w:t>
      </w:r>
      <w:proofErr w:type="spellEnd"/>
      <w:r w:rsidRPr="003817C4">
        <w:rPr>
          <w:rFonts w:ascii="Arial" w:eastAsia="Times New Roman" w:hAnsi="Arial" w:cs="Arial"/>
          <w:b/>
          <w:sz w:val="20"/>
          <w:szCs w:val="20"/>
        </w:rPr>
        <w:t xml:space="preserve"> Co-operative Education Program &amp; Career Services</w:t>
      </w:r>
    </w:p>
    <w:p w:rsidR="003817C4" w:rsidRDefault="003817C4" w:rsidP="003817C4">
      <w:pPr>
        <w:spacing w:after="0" w:line="240" w:lineRule="auto"/>
        <w:rPr>
          <w:rFonts w:ascii="Arial" w:eastAsia="Times New Roman" w:hAnsi="Arial" w:cs="Arial"/>
          <w:sz w:val="20"/>
          <w:szCs w:val="20"/>
        </w:rPr>
      </w:pPr>
    </w:p>
    <w:p w:rsidR="002822F2" w:rsidRDefault="003817C4">
      <w:pPr>
        <w:rPr>
          <w:rFonts w:ascii="Arial" w:eastAsia="Times New Roman" w:hAnsi="Arial" w:cs="Arial"/>
          <w:sz w:val="20"/>
          <w:szCs w:val="20"/>
        </w:rPr>
      </w:pPr>
      <w:r w:rsidRPr="003817C4">
        <w:rPr>
          <w:rFonts w:ascii="Arial" w:eastAsia="Times New Roman" w:hAnsi="Arial" w:cs="Arial"/>
          <w:sz w:val="20"/>
          <w:szCs w:val="20"/>
        </w:rPr>
        <w:t>Title of Program: University</w:t>
      </w:r>
      <w:r>
        <w:rPr>
          <w:rFonts w:ascii="Arial" w:eastAsia="Times New Roman" w:hAnsi="Arial" w:cs="Arial"/>
          <w:sz w:val="20"/>
          <w:szCs w:val="20"/>
        </w:rPr>
        <w:t xml:space="preserve"> of Victoria's Career Compass</w:t>
      </w:r>
      <w:r>
        <w:rPr>
          <w:rFonts w:ascii="Arial" w:eastAsia="Times New Roman" w:hAnsi="Arial" w:cs="Arial"/>
          <w:sz w:val="20"/>
          <w:szCs w:val="20"/>
        </w:rPr>
        <w:br/>
      </w:r>
      <w:r w:rsidRPr="003817C4">
        <w:rPr>
          <w:rFonts w:ascii="Arial" w:eastAsia="Times New Roman" w:hAnsi="Arial" w:cs="Arial"/>
          <w:sz w:val="20"/>
          <w:szCs w:val="20"/>
        </w:rPr>
        <w:br/>
        <w:t>Description of Program or Initiative:</w:t>
      </w:r>
      <w:r w:rsidRPr="003817C4">
        <w:rPr>
          <w:rFonts w:ascii="Arial" w:eastAsia="Times New Roman" w:hAnsi="Arial" w:cs="Arial"/>
          <w:sz w:val="20"/>
          <w:szCs w:val="20"/>
        </w:rPr>
        <w:br/>
      </w:r>
      <w:r w:rsidRPr="003817C4">
        <w:rPr>
          <w:rFonts w:ascii="Arial" w:eastAsia="Times New Roman" w:hAnsi="Arial" w:cs="Arial"/>
          <w:sz w:val="20"/>
          <w:szCs w:val="20"/>
        </w:rPr>
        <w:br/>
        <w:t>The University of Victoria's Career Compass is a comprehensive career development approach for all 20,000 students (both undergraduate and graduate) that presents career deve</w:t>
      </w:r>
      <w:r w:rsidR="002822F2">
        <w:rPr>
          <w:rFonts w:ascii="Arial" w:eastAsia="Times New Roman" w:hAnsi="Arial" w:cs="Arial"/>
          <w:sz w:val="20"/>
          <w:szCs w:val="20"/>
        </w:rPr>
        <w:t>lopment from a natural student “</w:t>
      </w:r>
      <w:r w:rsidRPr="003817C4">
        <w:rPr>
          <w:rFonts w:ascii="Arial" w:eastAsia="Times New Roman" w:hAnsi="Arial" w:cs="Arial"/>
          <w:sz w:val="20"/>
          <w:szCs w:val="20"/>
        </w:rPr>
        <w:t>lifecycle</w:t>
      </w:r>
      <w:r w:rsidR="002822F2">
        <w:rPr>
          <w:rFonts w:ascii="Arial" w:eastAsia="Times New Roman" w:hAnsi="Arial" w:cs="Arial"/>
          <w:sz w:val="20"/>
          <w:szCs w:val="20"/>
        </w:rPr>
        <w:t>”</w:t>
      </w:r>
      <w:r w:rsidRPr="003817C4">
        <w:rPr>
          <w:rFonts w:ascii="Arial" w:eastAsia="Times New Roman" w:hAnsi="Arial" w:cs="Arial"/>
          <w:sz w:val="20"/>
          <w:szCs w:val="20"/>
        </w:rPr>
        <w:t xml:space="preserve"> perspective. The Career Compass (please see </w:t>
      </w:r>
      <w:hyperlink r:id="rId4" w:history="1">
        <w:r w:rsidR="002822F2" w:rsidRPr="00FC573C">
          <w:rPr>
            <w:rStyle w:val="Hyperlink"/>
            <w:rFonts w:ascii="Arial" w:eastAsia="Times New Roman" w:hAnsi="Arial" w:cs="Arial"/>
            <w:sz w:val="20"/>
            <w:szCs w:val="20"/>
          </w:rPr>
          <w:t>http://www.uvic.ca/coopandcareer/studentsalumni/home/compass/index.php</w:t>
        </w:r>
      </w:hyperlink>
      <w:r w:rsidRPr="003817C4">
        <w:rPr>
          <w:rFonts w:ascii="Arial" w:eastAsia="Times New Roman" w:hAnsi="Arial" w:cs="Arial"/>
          <w:sz w:val="20"/>
          <w:szCs w:val="20"/>
        </w:rPr>
        <w:t>) as a whole breaks down a student's career develo</w:t>
      </w:r>
      <w:r>
        <w:rPr>
          <w:rFonts w:ascii="Arial" w:eastAsia="Times New Roman" w:hAnsi="Arial" w:cs="Arial"/>
          <w:sz w:val="20"/>
          <w:szCs w:val="20"/>
        </w:rPr>
        <w:t>pment into three main stages.</w:t>
      </w:r>
      <w:r>
        <w:rPr>
          <w:rFonts w:ascii="Arial" w:eastAsia="Times New Roman" w:hAnsi="Arial" w:cs="Arial"/>
          <w:sz w:val="20"/>
          <w:szCs w:val="20"/>
        </w:rPr>
        <w:br/>
      </w:r>
      <w:r w:rsidR="002822F2">
        <w:rPr>
          <w:rFonts w:ascii="Arial" w:eastAsia="Times New Roman" w:hAnsi="Arial" w:cs="Arial"/>
          <w:sz w:val="20"/>
          <w:szCs w:val="20"/>
        </w:rPr>
        <w:br/>
        <w:t>The first stage is the “Discover your Direction”</w:t>
      </w:r>
      <w:r w:rsidRPr="003817C4">
        <w:rPr>
          <w:rFonts w:ascii="Arial" w:eastAsia="Times New Roman" w:hAnsi="Arial" w:cs="Arial"/>
          <w:sz w:val="20"/>
          <w:szCs w:val="20"/>
        </w:rPr>
        <w:t xml:space="preserve"> stage that can commence in first year and be revisited throughout the student's time at the university. In this stage, students are encouraged to learn about various career pathways that are possible. They are directed towards resources, programs and services that help them learn about possible careers. These include support from our career educators, recruitment events, workshops, experiential learning, courses, our job</w:t>
      </w:r>
      <w:r>
        <w:rPr>
          <w:rFonts w:ascii="Arial" w:eastAsia="Times New Roman" w:hAnsi="Arial" w:cs="Arial"/>
          <w:sz w:val="20"/>
          <w:szCs w:val="20"/>
        </w:rPr>
        <w:t xml:space="preserve"> portal and on-line resources.</w:t>
      </w:r>
      <w:r w:rsidR="002822F2">
        <w:rPr>
          <w:rFonts w:ascii="Arial" w:eastAsia="Times New Roman" w:hAnsi="Arial" w:cs="Arial"/>
          <w:sz w:val="20"/>
          <w:szCs w:val="20"/>
        </w:rPr>
        <w:br/>
      </w:r>
      <w:r w:rsidR="002822F2">
        <w:rPr>
          <w:rFonts w:ascii="Arial" w:eastAsia="Times New Roman" w:hAnsi="Arial" w:cs="Arial"/>
          <w:sz w:val="20"/>
          <w:szCs w:val="20"/>
        </w:rPr>
        <w:br/>
        <w:t>Stage 2 is the “Explore your Options”</w:t>
      </w:r>
      <w:r w:rsidRPr="003817C4">
        <w:rPr>
          <w:rFonts w:ascii="Arial" w:eastAsia="Times New Roman" w:hAnsi="Arial" w:cs="Arial"/>
          <w:sz w:val="20"/>
          <w:szCs w:val="20"/>
        </w:rPr>
        <w:t xml:space="preserve"> stage where students are encouraged to begin developing the competencies they will require to be successful in their chosen career. These competencies are identified in three categories: core, discipline specific and intercultural. Please see our competency resources for a comprehensive overview: </w:t>
      </w:r>
      <w:hyperlink r:id="rId5" w:history="1">
        <w:r w:rsidR="002822F2" w:rsidRPr="00FC573C">
          <w:rPr>
            <w:rStyle w:val="Hyperlink"/>
            <w:rFonts w:ascii="Arial" w:eastAsia="Times New Roman" w:hAnsi="Arial" w:cs="Arial"/>
            <w:sz w:val="20"/>
            <w:szCs w:val="20"/>
          </w:rPr>
          <w:t>http://www.uvic.ca/coopandcareer/studentsalumni/resources/competencykit/index.php</w:t>
        </w:r>
      </w:hyperlink>
      <w:r w:rsidR="002822F2">
        <w:rPr>
          <w:rFonts w:ascii="Arial" w:eastAsia="Times New Roman" w:hAnsi="Arial" w:cs="Arial"/>
          <w:sz w:val="20"/>
          <w:szCs w:val="20"/>
        </w:rPr>
        <w:t xml:space="preserve"> </w:t>
      </w:r>
      <w:r w:rsidRPr="003817C4">
        <w:rPr>
          <w:rFonts w:ascii="Arial" w:eastAsia="Times New Roman" w:hAnsi="Arial" w:cs="Arial"/>
          <w:sz w:val="20"/>
          <w:szCs w:val="20"/>
        </w:rPr>
        <w:br/>
      </w:r>
      <w:r w:rsidRPr="003817C4">
        <w:rPr>
          <w:rFonts w:ascii="Arial" w:eastAsia="Times New Roman" w:hAnsi="Arial" w:cs="Arial"/>
          <w:sz w:val="20"/>
          <w:szCs w:val="20"/>
        </w:rPr>
        <w:br/>
        <w:t>Within stage 2 students are directed to a range of experiential education and learning opportunities at the University through our experiential program maps:</w:t>
      </w:r>
      <w:r w:rsidRPr="003817C4">
        <w:rPr>
          <w:rFonts w:ascii="Arial" w:eastAsia="Times New Roman" w:hAnsi="Arial" w:cs="Arial"/>
          <w:sz w:val="20"/>
          <w:szCs w:val="20"/>
        </w:rPr>
        <w:br/>
      </w:r>
      <w:r w:rsidRPr="003817C4">
        <w:rPr>
          <w:rFonts w:ascii="Arial" w:eastAsia="Times New Roman" w:hAnsi="Arial" w:cs="Arial"/>
          <w:sz w:val="20"/>
          <w:szCs w:val="20"/>
        </w:rPr>
        <w:br/>
      </w:r>
      <w:hyperlink r:id="rId6" w:history="1">
        <w:r w:rsidR="002822F2" w:rsidRPr="00FC573C">
          <w:rPr>
            <w:rStyle w:val="Hyperlink"/>
            <w:rFonts w:ascii="Arial" w:eastAsia="Times New Roman" w:hAnsi="Arial" w:cs="Arial"/>
            <w:sz w:val="20"/>
            <w:szCs w:val="20"/>
          </w:rPr>
          <w:t>http://www.uvic.ca/coopandcareer/studentsalumni/home/exploreyouroptions/index.php#section0-9</w:t>
        </w:r>
      </w:hyperlink>
      <w:r w:rsidR="002822F2">
        <w:rPr>
          <w:rFonts w:ascii="Arial" w:eastAsia="Times New Roman" w:hAnsi="Arial" w:cs="Arial"/>
          <w:sz w:val="20"/>
          <w:szCs w:val="20"/>
        </w:rPr>
        <w:t xml:space="preserve"> </w:t>
      </w:r>
      <w:r w:rsidRPr="003817C4">
        <w:rPr>
          <w:rFonts w:ascii="Arial" w:eastAsia="Times New Roman" w:hAnsi="Arial" w:cs="Arial"/>
          <w:sz w:val="20"/>
          <w:szCs w:val="20"/>
        </w:rPr>
        <w:br/>
      </w:r>
      <w:r w:rsidRPr="003817C4">
        <w:rPr>
          <w:rFonts w:ascii="Arial" w:eastAsia="Times New Roman" w:hAnsi="Arial" w:cs="Arial"/>
          <w:sz w:val="20"/>
          <w:szCs w:val="20"/>
        </w:rPr>
        <w:br/>
        <w:t xml:space="preserve">These maps identify all of the experiential education courses across the undergraduate curriculum and identify all co-curricular experiential learning opportunities. In addition to the excellent courses that students can take at </w:t>
      </w:r>
      <w:proofErr w:type="spellStart"/>
      <w:r w:rsidRPr="003817C4">
        <w:rPr>
          <w:rFonts w:ascii="Arial" w:eastAsia="Times New Roman" w:hAnsi="Arial" w:cs="Arial"/>
          <w:sz w:val="20"/>
          <w:szCs w:val="20"/>
        </w:rPr>
        <w:t>UVic</w:t>
      </w:r>
      <w:proofErr w:type="spellEnd"/>
      <w:r w:rsidRPr="003817C4">
        <w:rPr>
          <w:rFonts w:ascii="Arial" w:eastAsia="Times New Roman" w:hAnsi="Arial" w:cs="Arial"/>
          <w:sz w:val="20"/>
          <w:szCs w:val="20"/>
        </w:rPr>
        <w:t>, this listing of courses that are substantially experiential afford the students additional opportunities to develop the competencies required for succ</w:t>
      </w:r>
      <w:r>
        <w:rPr>
          <w:rFonts w:ascii="Arial" w:eastAsia="Times New Roman" w:hAnsi="Arial" w:cs="Arial"/>
          <w:sz w:val="20"/>
          <w:szCs w:val="20"/>
        </w:rPr>
        <w:t>essful transition to careers.</w:t>
      </w:r>
      <w:r w:rsidRPr="003817C4">
        <w:rPr>
          <w:rFonts w:ascii="Arial" w:eastAsia="Times New Roman" w:hAnsi="Arial" w:cs="Arial"/>
          <w:sz w:val="20"/>
          <w:szCs w:val="20"/>
        </w:rPr>
        <w:br/>
      </w:r>
    </w:p>
    <w:p w:rsidR="003817C4" w:rsidRPr="003817C4" w:rsidRDefault="002822F2">
      <w:pPr>
        <w:rPr>
          <w:rFonts w:ascii="Arial" w:eastAsia="Times New Roman" w:hAnsi="Arial" w:cs="Arial"/>
          <w:b/>
          <w:bCs/>
          <w:sz w:val="20"/>
          <w:szCs w:val="20"/>
        </w:rPr>
      </w:pPr>
      <w:r>
        <w:rPr>
          <w:rFonts w:ascii="Arial" w:eastAsia="Times New Roman" w:hAnsi="Arial" w:cs="Arial"/>
          <w:sz w:val="20"/>
          <w:szCs w:val="20"/>
        </w:rPr>
        <w:t>Stage 3 is entitled: “</w:t>
      </w:r>
      <w:r w:rsidR="003817C4" w:rsidRPr="003817C4">
        <w:rPr>
          <w:rFonts w:ascii="Arial" w:eastAsia="Times New Roman" w:hAnsi="Arial" w:cs="Arial"/>
          <w:sz w:val="20"/>
          <w:szCs w:val="20"/>
        </w:rPr>
        <w:t>Gear up to Gr</w:t>
      </w:r>
      <w:r>
        <w:rPr>
          <w:rFonts w:ascii="Arial" w:eastAsia="Times New Roman" w:hAnsi="Arial" w:cs="Arial"/>
          <w:sz w:val="20"/>
          <w:szCs w:val="20"/>
        </w:rPr>
        <w:t>aduate”</w:t>
      </w:r>
      <w:r w:rsidR="003817C4" w:rsidRPr="003817C4">
        <w:rPr>
          <w:rFonts w:ascii="Arial" w:eastAsia="Times New Roman" w:hAnsi="Arial" w:cs="Arial"/>
          <w:sz w:val="20"/>
          <w:szCs w:val="20"/>
        </w:rPr>
        <w:t xml:space="preserve"> where students are provided resources, programs and services to help them put all of the pieces together as they focus their areas of interest, hone their job finding skills (using the tool kit: </w:t>
      </w:r>
      <w:hyperlink r:id="rId7" w:history="1">
        <w:r w:rsidRPr="00FC573C">
          <w:rPr>
            <w:rStyle w:val="Hyperlink"/>
            <w:rFonts w:ascii="Arial" w:eastAsia="Times New Roman" w:hAnsi="Arial" w:cs="Arial"/>
            <w:sz w:val="20"/>
            <w:szCs w:val="20"/>
          </w:rPr>
          <w:t>http://www.uvic.ca/coopandcareer/studentsalumni/resources/toolkit/index.php</w:t>
        </w:r>
      </w:hyperlink>
      <w:r w:rsidR="003817C4" w:rsidRPr="003817C4">
        <w:rPr>
          <w:rFonts w:ascii="Arial" w:eastAsia="Times New Roman" w:hAnsi="Arial" w:cs="Arial"/>
          <w:sz w:val="20"/>
          <w:szCs w:val="20"/>
        </w:rPr>
        <w:t xml:space="preserve">), articulate the competencies they have developed through their experiences and identify possible career opportunities (using the journey kit: </w:t>
      </w:r>
      <w:hyperlink r:id="rId8" w:history="1">
        <w:r w:rsidRPr="00FC573C">
          <w:rPr>
            <w:rStyle w:val="Hyperlink"/>
            <w:rFonts w:ascii="Arial" w:eastAsia="Times New Roman" w:hAnsi="Arial" w:cs="Arial"/>
            <w:sz w:val="20"/>
            <w:szCs w:val="20"/>
          </w:rPr>
          <w:t>http://www.uvic.ca/coopandcareer/studentsalumni/resources/journeykit/index.php</w:t>
        </w:r>
      </w:hyperlink>
      <w:r>
        <w:rPr>
          <w:rFonts w:ascii="Arial" w:eastAsia="Times New Roman" w:hAnsi="Arial" w:cs="Arial"/>
          <w:sz w:val="20"/>
          <w:szCs w:val="20"/>
        </w:rPr>
        <w:t xml:space="preserve">) </w:t>
      </w:r>
      <w:r w:rsidR="003817C4" w:rsidRPr="003817C4">
        <w:rPr>
          <w:rFonts w:ascii="Arial" w:eastAsia="Times New Roman" w:hAnsi="Arial" w:cs="Arial"/>
          <w:sz w:val="20"/>
          <w:szCs w:val="20"/>
        </w:rPr>
        <w:br/>
      </w:r>
      <w:r w:rsidR="003817C4" w:rsidRPr="003817C4">
        <w:rPr>
          <w:rFonts w:ascii="Arial" w:eastAsia="Times New Roman" w:hAnsi="Arial" w:cs="Arial"/>
          <w:sz w:val="20"/>
          <w:szCs w:val="20"/>
        </w:rPr>
        <w:br/>
        <w:t>The Gear up to Graduate site can be found at:</w:t>
      </w:r>
      <w:r>
        <w:rPr>
          <w:rFonts w:ascii="Arial" w:eastAsia="Times New Roman" w:hAnsi="Arial" w:cs="Arial"/>
          <w:sz w:val="20"/>
          <w:szCs w:val="20"/>
        </w:rPr>
        <w:t xml:space="preserve"> </w:t>
      </w:r>
      <w:hyperlink r:id="rId9" w:history="1">
        <w:r w:rsidRPr="00FC573C">
          <w:rPr>
            <w:rStyle w:val="Hyperlink"/>
            <w:rFonts w:ascii="Arial" w:eastAsia="Times New Roman" w:hAnsi="Arial" w:cs="Arial"/>
            <w:sz w:val="20"/>
            <w:szCs w:val="20"/>
          </w:rPr>
          <w:t>http://www.uvic.ca/coopandcareer/studentsalumni/home/gearuptograduate/index.php</w:t>
        </w:r>
      </w:hyperlink>
      <w:r>
        <w:rPr>
          <w:rFonts w:ascii="Arial" w:eastAsia="Times New Roman" w:hAnsi="Arial" w:cs="Arial"/>
          <w:sz w:val="20"/>
          <w:szCs w:val="20"/>
        </w:rPr>
        <w:t xml:space="preserve">   </w:t>
      </w:r>
      <w:r w:rsidR="003817C4" w:rsidRPr="003817C4">
        <w:rPr>
          <w:rFonts w:ascii="Arial" w:eastAsia="Times New Roman" w:hAnsi="Arial" w:cs="Arial"/>
          <w:sz w:val="20"/>
          <w:szCs w:val="20"/>
        </w:rPr>
        <w:br/>
      </w:r>
      <w:r w:rsidR="003817C4" w:rsidRPr="003817C4">
        <w:rPr>
          <w:rFonts w:ascii="Arial" w:eastAsia="Times New Roman" w:hAnsi="Arial" w:cs="Arial"/>
          <w:sz w:val="20"/>
          <w:szCs w:val="20"/>
        </w:rPr>
        <w:br/>
        <w:t xml:space="preserve">We are a campus that is deeply committed to equity and diversity, and as such have developed resources that address issues related to equity and diversity: </w:t>
      </w:r>
      <w:hyperlink r:id="rId10" w:history="1">
        <w:r w:rsidRPr="00FC573C">
          <w:rPr>
            <w:rStyle w:val="Hyperlink"/>
            <w:rFonts w:ascii="Arial" w:eastAsia="Times New Roman" w:hAnsi="Arial" w:cs="Arial"/>
            <w:sz w:val="20"/>
            <w:szCs w:val="20"/>
          </w:rPr>
          <w:t>http://www.uvic.ca/coopandcareer/studentsalumni/resources/equity/index.php</w:t>
        </w:r>
      </w:hyperlink>
      <w:r>
        <w:rPr>
          <w:rFonts w:ascii="Arial" w:eastAsia="Times New Roman" w:hAnsi="Arial" w:cs="Arial"/>
          <w:sz w:val="20"/>
          <w:szCs w:val="20"/>
        </w:rPr>
        <w:t xml:space="preserve"> </w:t>
      </w:r>
      <w:r w:rsidR="003817C4" w:rsidRPr="003817C4">
        <w:rPr>
          <w:rFonts w:ascii="Arial" w:eastAsia="Times New Roman" w:hAnsi="Arial" w:cs="Arial"/>
          <w:sz w:val="20"/>
          <w:szCs w:val="20"/>
        </w:rPr>
        <w:br/>
      </w:r>
      <w:r w:rsidR="003817C4" w:rsidRPr="003817C4">
        <w:rPr>
          <w:rFonts w:ascii="Arial" w:eastAsia="Times New Roman" w:hAnsi="Arial" w:cs="Arial"/>
          <w:sz w:val="20"/>
          <w:szCs w:val="20"/>
        </w:rPr>
        <w:br/>
        <w:t xml:space="preserve">Additionally, we have specialized resources for international students looking to be successful in Canada: </w:t>
      </w:r>
      <w:hyperlink r:id="rId11" w:history="1">
        <w:r w:rsidRPr="00FC573C">
          <w:rPr>
            <w:rStyle w:val="Hyperlink"/>
            <w:rFonts w:ascii="Arial" w:eastAsia="Times New Roman" w:hAnsi="Arial" w:cs="Arial"/>
            <w:sz w:val="20"/>
            <w:szCs w:val="20"/>
          </w:rPr>
          <w:t>http://www.uvic.ca/coopandcareer/studentsalumni/resources/incanada/index.php</w:t>
        </w:r>
      </w:hyperlink>
      <w:r>
        <w:rPr>
          <w:rFonts w:ascii="Arial" w:eastAsia="Times New Roman" w:hAnsi="Arial" w:cs="Arial"/>
          <w:sz w:val="20"/>
          <w:szCs w:val="20"/>
        </w:rPr>
        <w:t xml:space="preserve"> </w:t>
      </w:r>
      <w:r w:rsidR="003817C4" w:rsidRPr="003817C4">
        <w:rPr>
          <w:rFonts w:ascii="Arial" w:eastAsia="Times New Roman" w:hAnsi="Arial" w:cs="Arial"/>
          <w:sz w:val="20"/>
          <w:szCs w:val="20"/>
        </w:rPr>
        <w:br/>
      </w:r>
      <w:r w:rsidR="003817C4" w:rsidRPr="003817C4">
        <w:rPr>
          <w:rFonts w:ascii="Arial" w:eastAsia="Times New Roman" w:hAnsi="Arial" w:cs="Arial"/>
          <w:sz w:val="20"/>
          <w:szCs w:val="20"/>
        </w:rPr>
        <w:br/>
        <w:t>As can be seen from the website links, the Career Compass has a fulsome set of resources to support our diverse student body at each stage in their career development. Additionally, we have created checklists for each stage to help students plan and strategize. Our in-person career workshops and interactions reinforce the Career Compass approach. To promote this program we have develop</w:t>
      </w:r>
      <w:r>
        <w:rPr>
          <w:rFonts w:ascii="Arial" w:eastAsia="Times New Roman" w:hAnsi="Arial" w:cs="Arial"/>
          <w:sz w:val="20"/>
          <w:szCs w:val="20"/>
        </w:rPr>
        <w:t>ed print materials in a catchy “infographic”</w:t>
      </w:r>
      <w:r w:rsidR="003817C4" w:rsidRPr="003817C4">
        <w:rPr>
          <w:rFonts w:ascii="Arial" w:eastAsia="Times New Roman" w:hAnsi="Arial" w:cs="Arial"/>
          <w:sz w:val="20"/>
          <w:szCs w:val="20"/>
        </w:rPr>
        <w:t xml:space="preserve"> style that is used for posters, flyers and other marke</w:t>
      </w:r>
      <w:r w:rsidR="003817C4">
        <w:rPr>
          <w:rFonts w:ascii="Arial" w:eastAsia="Times New Roman" w:hAnsi="Arial" w:cs="Arial"/>
          <w:sz w:val="20"/>
          <w:szCs w:val="20"/>
        </w:rPr>
        <w:t>ting materials.</w:t>
      </w:r>
      <w:r w:rsidR="003817C4" w:rsidRPr="003817C4">
        <w:rPr>
          <w:rFonts w:ascii="Arial" w:eastAsia="Times New Roman" w:hAnsi="Arial" w:cs="Arial"/>
          <w:sz w:val="20"/>
          <w:szCs w:val="20"/>
        </w:rPr>
        <w:br/>
      </w:r>
      <w:r w:rsidR="003817C4" w:rsidRPr="003817C4">
        <w:rPr>
          <w:rFonts w:ascii="Arial" w:eastAsia="Times New Roman" w:hAnsi="Arial" w:cs="Arial"/>
          <w:sz w:val="20"/>
          <w:szCs w:val="20"/>
        </w:rPr>
        <w:br/>
        <w:t xml:space="preserve">Our philosophy at </w:t>
      </w:r>
      <w:proofErr w:type="spellStart"/>
      <w:r w:rsidR="003817C4" w:rsidRPr="003817C4">
        <w:rPr>
          <w:rFonts w:ascii="Arial" w:eastAsia="Times New Roman" w:hAnsi="Arial" w:cs="Arial"/>
          <w:sz w:val="20"/>
          <w:szCs w:val="20"/>
        </w:rPr>
        <w:t>UVic</w:t>
      </w:r>
      <w:proofErr w:type="spellEnd"/>
      <w:r w:rsidR="003817C4" w:rsidRPr="003817C4">
        <w:rPr>
          <w:rFonts w:ascii="Arial" w:eastAsia="Times New Roman" w:hAnsi="Arial" w:cs="Arial"/>
          <w:sz w:val="20"/>
          <w:szCs w:val="20"/>
        </w:rPr>
        <w:t xml:space="preserve"> is to share our materials freely through our website. While some of the resources (such as the specific disciplinary competencies and experiential education maps) are unique to our University, many of the accompanying resources can be used in other settings. We would be happy to share these resources with other career</w:t>
      </w:r>
      <w:r w:rsidR="003817C4">
        <w:rPr>
          <w:rFonts w:ascii="Arial" w:eastAsia="Times New Roman" w:hAnsi="Arial" w:cs="Arial"/>
          <w:sz w:val="20"/>
          <w:szCs w:val="20"/>
        </w:rPr>
        <w:t xml:space="preserve"> </w:t>
      </w:r>
      <w:proofErr w:type="spellStart"/>
      <w:r w:rsidR="003817C4">
        <w:rPr>
          <w:rFonts w:ascii="Arial" w:eastAsia="Times New Roman" w:hAnsi="Arial" w:cs="Arial"/>
          <w:sz w:val="20"/>
          <w:szCs w:val="20"/>
        </w:rPr>
        <w:t>centres</w:t>
      </w:r>
      <w:proofErr w:type="spellEnd"/>
      <w:r w:rsidR="003817C4">
        <w:rPr>
          <w:rFonts w:ascii="Arial" w:eastAsia="Times New Roman" w:hAnsi="Arial" w:cs="Arial"/>
          <w:sz w:val="20"/>
          <w:szCs w:val="20"/>
        </w:rPr>
        <w:t xml:space="preserve"> if there is interest.</w:t>
      </w:r>
      <w:r w:rsidR="003817C4" w:rsidRPr="003817C4">
        <w:rPr>
          <w:rFonts w:ascii="Arial" w:eastAsia="Times New Roman" w:hAnsi="Arial" w:cs="Arial"/>
          <w:sz w:val="20"/>
          <w:szCs w:val="20"/>
        </w:rPr>
        <w:br/>
      </w:r>
      <w:r w:rsidR="003817C4" w:rsidRPr="003817C4">
        <w:rPr>
          <w:rFonts w:ascii="Arial" w:eastAsia="Times New Roman" w:hAnsi="Arial" w:cs="Arial"/>
          <w:sz w:val="20"/>
          <w:szCs w:val="20"/>
        </w:rPr>
        <w:br/>
      </w:r>
      <w:r w:rsidR="003817C4" w:rsidRPr="003817C4">
        <w:rPr>
          <w:rFonts w:ascii="Arial" w:eastAsia="Times New Roman" w:hAnsi="Arial" w:cs="Arial"/>
          <w:b/>
          <w:bCs/>
          <w:sz w:val="20"/>
          <w:szCs w:val="20"/>
        </w:rPr>
        <w:t>What was the budget range of this project?</w:t>
      </w:r>
      <w:r w:rsidR="003817C4" w:rsidRPr="003817C4">
        <w:rPr>
          <w:rFonts w:ascii="Arial" w:eastAsia="Times New Roman" w:hAnsi="Arial" w:cs="Arial"/>
          <w:sz w:val="20"/>
          <w:szCs w:val="20"/>
        </w:rPr>
        <w:br/>
      </w:r>
      <w:r w:rsidR="003817C4" w:rsidRPr="003817C4">
        <w:rPr>
          <w:rFonts w:ascii="Arial" w:eastAsia="Times New Roman" w:hAnsi="Arial" w:cs="Arial"/>
          <w:sz w:val="20"/>
          <w:szCs w:val="20"/>
        </w:rPr>
        <w:br/>
      </w:r>
      <w:r w:rsidR="003817C4">
        <w:rPr>
          <w:rFonts w:ascii="Arial" w:eastAsia="Times New Roman" w:hAnsi="Arial" w:cs="Arial"/>
          <w:sz w:val="20"/>
          <w:szCs w:val="20"/>
        </w:rPr>
        <w:t>Medium ($1,000-$10,000):</w:t>
      </w:r>
      <w:r>
        <w:rPr>
          <w:rFonts w:ascii="Arial" w:eastAsia="Times New Roman" w:hAnsi="Arial" w:cs="Arial"/>
          <w:sz w:val="20"/>
          <w:szCs w:val="20"/>
        </w:rPr>
        <w:t xml:space="preserve"> </w:t>
      </w:r>
      <w:r w:rsidR="003817C4" w:rsidRPr="003817C4">
        <w:rPr>
          <w:rFonts w:ascii="Arial" w:eastAsia="Times New Roman" w:hAnsi="Arial" w:cs="Arial"/>
          <w:sz w:val="20"/>
          <w:szCs w:val="20"/>
        </w:rPr>
        <w:t>Th</w:t>
      </w:r>
      <w:bookmarkStart w:id="0" w:name="_GoBack"/>
      <w:bookmarkEnd w:id="0"/>
      <w:r w:rsidR="003817C4" w:rsidRPr="003817C4">
        <w:rPr>
          <w:rFonts w:ascii="Arial" w:eastAsia="Times New Roman" w:hAnsi="Arial" w:cs="Arial"/>
          <w:sz w:val="20"/>
          <w:szCs w:val="20"/>
        </w:rPr>
        <w:t>is work was done within the job duties of staff, so the additional costs were for print materials and the hiring of a co-op student to assist at different stages of the project.</w:t>
      </w:r>
    </w:p>
    <w:p w:rsidR="003817C4" w:rsidRPr="003817C4" w:rsidRDefault="003817C4" w:rsidP="003817C4">
      <w:pPr>
        <w:spacing w:after="0" w:line="240" w:lineRule="auto"/>
        <w:rPr>
          <w:rFonts w:ascii="Arial" w:eastAsia="Times New Roman" w:hAnsi="Arial" w:cs="Arial"/>
          <w:b/>
          <w:bCs/>
          <w:sz w:val="20"/>
          <w:szCs w:val="20"/>
        </w:rPr>
      </w:pPr>
      <w:r w:rsidRPr="003817C4">
        <w:rPr>
          <w:rFonts w:ascii="Arial" w:eastAsia="Times New Roman" w:hAnsi="Arial" w:cs="Arial"/>
          <w:b/>
          <w:bCs/>
          <w:sz w:val="20"/>
          <w:szCs w:val="20"/>
        </w:rPr>
        <w:t>What was the size of the team working on this project?</w:t>
      </w:r>
    </w:p>
    <w:p w:rsidR="003817C4" w:rsidRPr="003817C4" w:rsidRDefault="003817C4" w:rsidP="003817C4">
      <w:pPr>
        <w:rPr>
          <w:rFonts w:ascii="Arial" w:eastAsia="Times New Roman" w:hAnsi="Arial" w:cs="Arial"/>
          <w:sz w:val="20"/>
          <w:szCs w:val="20"/>
        </w:rPr>
      </w:pPr>
      <w:r w:rsidRPr="003817C4">
        <w:rPr>
          <w:rFonts w:ascii="Arial" w:eastAsia="Times New Roman" w:hAnsi="Arial" w:cs="Arial"/>
          <w:sz w:val="20"/>
          <w:szCs w:val="20"/>
        </w:rPr>
        <w:br/>
      </w:r>
      <w:r w:rsidRPr="003817C4">
        <w:rPr>
          <w:rFonts w:ascii="Arial" w:eastAsia="Times New Roman" w:hAnsi="Arial" w:cs="Arial"/>
          <w:sz w:val="20"/>
          <w:szCs w:val="20"/>
        </w:rPr>
        <w:t>Core team = 12</w:t>
      </w:r>
    </w:p>
    <w:p w:rsidR="004C36F7" w:rsidRDefault="003817C4">
      <w:r w:rsidRPr="003817C4">
        <w:rPr>
          <w:rFonts w:ascii="Arial" w:eastAsia="Times New Roman" w:hAnsi="Arial" w:cs="Arial"/>
          <w:sz w:val="20"/>
          <w:szCs w:val="20"/>
        </w:rPr>
        <w:t>University of Victoria has a combined Co-operative Education Program and Career Services, and together we provide support, programs and services to all undergraduate and graduate students as well as alumni, faculty and staff. The total team is 65 staff. To create the Career Compass approach the core project team was comprised of our 5 career educators, their managers and our communications officer who supervised a co-op student. However, the work to develop all of the on-line resources, the competency development and all of the experiential education mapping involved everyone in some capacity as we consulted broadly across all faculties and academic unit</w:t>
      </w:r>
      <w:r>
        <w:rPr>
          <w:rFonts w:ascii="Arial" w:eastAsia="Times New Roman" w:hAnsi="Arial" w:cs="Arial"/>
          <w:sz w:val="20"/>
          <w:szCs w:val="20"/>
        </w:rPr>
        <w:t>s as well as student services.</w:t>
      </w:r>
    </w:p>
    <w:sectPr w:rsidR="004C3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7C4"/>
    <w:rsid w:val="002822F2"/>
    <w:rsid w:val="003817C4"/>
    <w:rsid w:val="00673AB1"/>
    <w:rsid w:val="006C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CECA3-336F-4F42-874E-CB85A59DD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22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3851">
      <w:bodyDiv w:val="1"/>
      <w:marLeft w:val="0"/>
      <w:marRight w:val="0"/>
      <w:marTop w:val="0"/>
      <w:marBottom w:val="0"/>
      <w:divBdr>
        <w:top w:val="none" w:sz="0" w:space="0" w:color="auto"/>
        <w:left w:val="none" w:sz="0" w:space="0" w:color="auto"/>
        <w:bottom w:val="none" w:sz="0" w:space="0" w:color="auto"/>
        <w:right w:val="none" w:sz="0" w:space="0" w:color="auto"/>
      </w:divBdr>
    </w:div>
    <w:div w:id="226886324">
      <w:bodyDiv w:val="1"/>
      <w:marLeft w:val="0"/>
      <w:marRight w:val="0"/>
      <w:marTop w:val="0"/>
      <w:marBottom w:val="0"/>
      <w:divBdr>
        <w:top w:val="none" w:sz="0" w:space="0" w:color="auto"/>
        <w:left w:val="none" w:sz="0" w:space="0" w:color="auto"/>
        <w:bottom w:val="none" w:sz="0" w:space="0" w:color="auto"/>
        <w:right w:val="none" w:sz="0" w:space="0" w:color="auto"/>
      </w:divBdr>
    </w:div>
    <w:div w:id="252322511">
      <w:bodyDiv w:val="1"/>
      <w:marLeft w:val="0"/>
      <w:marRight w:val="0"/>
      <w:marTop w:val="0"/>
      <w:marBottom w:val="0"/>
      <w:divBdr>
        <w:top w:val="none" w:sz="0" w:space="0" w:color="auto"/>
        <w:left w:val="none" w:sz="0" w:space="0" w:color="auto"/>
        <w:bottom w:val="none" w:sz="0" w:space="0" w:color="auto"/>
        <w:right w:val="none" w:sz="0" w:space="0" w:color="auto"/>
      </w:divBdr>
    </w:div>
    <w:div w:id="299576504">
      <w:bodyDiv w:val="1"/>
      <w:marLeft w:val="0"/>
      <w:marRight w:val="0"/>
      <w:marTop w:val="0"/>
      <w:marBottom w:val="0"/>
      <w:divBdr>
        <w:top w:val="none" w:sz="0" w:space="0" w:color="auto"/>
        <w:left w:val="none" w:sz="0" w:space="0" w:color="auto"/>
        <w:bottom w:val="none" w:sz="0" w:space="0" w:color="auto"/>
        <w:right w:val="none" w:sz="0" w:space="0" w:color="auto"/>
      </w:divBdr>
    </w:div>
    <w:div w:id="619147102">
      <w:bodyDiv w:val="1"/>
      <w:marLeft w:val="0"/>
      <w:marRight w:val="0"/>
      <w:marTop w:val="0"/>
      <w:marBottom w:val="0"/>
      <w:divBdr>
        <w:top w:val="none" w:sz="0" w:space="0" w:color="auto"/>
        <w:left w:val="none" w:sz="0" w:space="0" w:color="auto"/>
        <w:bottom w:val="none" w:sz="0" w:space="0" w:color="auto"/>
        <w:right w:val="none" w:sz="0" w:space="0" w:color="auto"/>
      </w:divBdr>
    </w:div>
    <w:div w:id="642194899">
      <w:bodyDiv w:val="1"/>
      <w:marLeft w:val="0"/>
      <w:marRight w:val="0"/>
      <w:marTop w:val="0"/>
      <w:marBottom w:val="0"/>
      <w:divBdr>
        <w:top w:val="none" w:sz="0" w:space="0" w:color="auto"/>
        <w:left w:val="none" w:sz="0" w:space="0" w:color="auto"/>
        <w:bottom w:val="none" w:sz="0" w:space="0" w:color="auto"/>
        <w:right w:val="none" w:sz="0" w:space="0" w:color="auto"/>
      </w:divBdr>
    </w:div>
    <w:div w:id="123778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ic.ca/coopandcareer/studentsalumni/resources/journeykit/index.ph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uvic.ca/coopandcareer/studentsalumni/resources/toolkit/index.ph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vic.ca/coopandcareer/studentsalumni/home/exploreyouroptions/index.php#section0-9" TargetMode="External"/><Relationship Id="rId11" Type="http://schemas.openxmlformats.org/officeDocument/2006/relationships/hyperlink" Target="http://www.uvic.ca/coopandcareer/studentsalumni/resources/incanada/index.php" TargetMode="External"/><Relationship Id="rId5" Type="http://schemas.openxmlformats.org/officeDocument/2006/relationships/hyperlink" Target="http://www.uvic.ca/coopandcareer/studentsalumni/resources/competencykit/index.php" TargetMode="External"/><Relationship Id="rId10" Type="http://schemas.openxmlformats.org/officeDocument/2006/relationships/hyperlink" Target="http://www.uvic.ca/coopandcareer/studentsalumni/resources/equity/index.php" TargetMode="External"/><Relationship Id="rId4" Type="http://schemas.openxmlformats.org/officeDocument/2006/relationships/hyperlink" Target="http://www.uvic.ca/coopandcareer/studentsalumni/home/compass/index.php" TargetMode="External"/><Relationship Id="rId9" Type="http://schemas.openxmlformats.org/officeDocument/2006/relationships/hyperlink" Target="http://www.uvic.ca/coopandcareer/studentsalumni/home/gearuptograduate/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D31C4C6E</Template>
  <TotalTime>6</TotalTime>
  <Pages>2</Pages>
  <Words>887</Words>
  <Characters>5060</Characters>
  <Application>Microsoft Office Word</Application>
  <DocSecurity>0</DocSecurity>
  <Lines>42</Lines>
  <Paragraphs>11</Paragraphs>
  <ScaleCrop>false</ScaleCrop>
  <Company/>
  <LinksUpToDate>false</LinksUpToDate>
  <CharactersWithSpaces>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Campo</dc:creator>
  <cp:keywords/>
  <dc:description/>
  <cp:lastModifiedBy>Christina Campo</cp:lastModifiedBy>
  <cp:revision>2</cp:revision>
  <dcterms:created xsi:type="dcterms:W3CDTF">2015-04-17T18:37:00Z</dcterms:created>
  <dcterms:modified xsi:type="dcterms:W3CDTF">2015-04-17T18:43:00Z</dcterms:modified>
</cp:coreProperties>
</file>